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77" w:rsidRPr="00333E77" w:rsidRDefault="00333E77" w:rsidP="00333E77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Arial" w:eastAsia="Times New Roman" w:hAnsi="Arial" w:cs="Arial"/>
          <w:b/>
          <w:bCs/>
          <w:color w:val="205080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b/>
          <w:bCs/>
          <w:color w:val="205080"/>
          <w:sz w:val="24"/>
          <w:szCs w:val="24"/>
          <w:lang w:eastAsia="et-EE"/>
        </w:rPr>
        <w:t>Üldised küsimused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Elan linnas/ elan maal – Kas minul on ka võimalik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digiTVga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liituda? Kas selleks on kaablivõrku ka vaja?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digiTVga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saavad liituda kõik, kellel on sobivad võimalused satelliitantenni paigaldamiseks.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digiTV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vaatamiseks ei ole kaablivõrku vaja, sest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digiTV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põhineb satelliidilevil. See tähendab, et igal vaatajal on oma satelliidikomplekt – antenn, vastuvõtja e.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tüüner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ja vaatajakaart. See tagab, et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digiTV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on võrdselt hea kvaliteediga üle kogu Eesti, nii linnas kui ka maal. Kui miskipärast satelliitantenni paigaldada ei ole võimalik, saab valikut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telekanalitest tellida ka meie koostööpartneritelt: Elion,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Starman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, STV.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Kuidas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digiTV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komplekti paigaldada?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Paigaldusjuhendid on komplektiga kaasas, aga soovitame kasutada professionaalseid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paigaldajaid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.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poolt aktsepteeritud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paigaldajad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leiate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koduleheküljelt. Professionaalsed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paigaldajad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teevad tööd vastavalt nende poolt kehtestatud hinnakirjale.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Kas on võimalik vaadata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digiTVd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mitmest erinevast televiisorist?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Et vaadata erinevaid saateid mitmest erinevast televiisorist, on iga televiisori juurde vajalik erinev digiboks ehk tuuner.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Viasatiga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on võimalik vaadata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digiTVd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korraga kuni neljast televiisorist.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Miks minu esimene arve on nii suur?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Põhjusel, et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arveldav ettemaksupõhiselt. Sinu esimesel arvel kajastub mitu arveldusperioodi ning liitumistasu.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Näide: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Kuld 16.08.2013 – 30.08.2013 (põhipaketi kuutasu, alates liitumise päevast)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Kuld   1.09.2013 -  30.09.2013 (põhipaketi kuutasu jooksva kuu eest)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Kuld 30.09.2013 – 01.10.2013 (ettemaks järgmise kuu eest)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Pidades kinni maksetähtajast, on edaspidi Sulle esitatavad arved ühe kuu kohta ette.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Näide: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- Septembri alguses saad arve oktoobri kuu eest. </w:t>
      </w:r>
    </w:p>
    <w:p w:rsidR="00333E77" w:rsidRPr="00333E77" w:rsidRDefault="00333E77" w:rsidP="00333E7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Vaata näidisarvet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kodulehelt klienditoe alt.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Tasusin arve, miks teenus on endiselt suletud?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Teostatud makse laekub Sinu kliendikontole järgmisel tööpäeval. Peale makse laekumist avaneb teenus automaatselt juhul, kui arve tasumine toimus täies ulatuses.</w:t>
      </w:r>
    </w:p>
    <w:p w:rsidR="00333E77" w:rsidRPr="00333E77" w:rsidRDefault="00333E77" w:rsidP="00333E7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Teenuse kiiremaks avamiseks helista meie klienditeenindusse 16788 või 698 9000.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Kuidas peaksin toimima, kui olen arve tasumisega hilinenud ja telepilt seetõttu suletud?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Kui telepildi signaal on ajutiselt suletud võlgnevuse tõttu, on kiireim viis selle taastamiseks tasuda võlgnevus iseteeninduse kaudu. Sellisel juhul taastatakse teenus 15 minuti jooksul.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lastRenderedPageBreak/>
        <w:t>Miks minu põhipaketi kuutasu on muutunud?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Põhjus võib peituda selles, et:</w:t>
      </w:r>
    </w:p>
    <w:p w:rsidR="00333E77" w:rsidRPr="00333E77" w:rsidRDefault="00333E77" w:rsidP="00333E7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- kampaaniapakkumise raames saadud soodustus on lõppenud;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>- läbi on saanud lepingu sidususperiood;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>- unustasid, et oled teinud paketivahetuse.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Miks ma pean tasuma arve, kui soovin lepingu peatada?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Enne lepingu peatamist tuleb tasuda kõik arved. Kui leping peatatakse, siis pikeneb Sinu poolt tasutud arve periood vastavalt peatatud ajale.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Näide: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Pakett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Kuld 1.09.2013 - 30.09.2013 (esitatud arve) </w:t>
      </w:r>
    </w:p>
    <w:p w:rsidR="00333E77" w:rsidRPr="00333E77" w:rsidRDefault="00333E77" w:rsidP="00333E7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- Soovin peatada lepingu alates 01.09.2013 – 01.10.2014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Peale esitatud arve tasumist muutub arveperiood 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Kuld 1.09.2013 - 30.10.2013 ning</w:t>
      </w:r>
    </w:p>
    <w:p w:rsidR="00333E77" w:rsidRPr="00333E77" w:rsidRDefault="00333E77" w:rsidP="00333E7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seega on ettemaks oktoobrikuu kuutasu eest tasutud.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Miks ma eelmisel kuul arvet ei saanud?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Võimalik, et arve küll koostati, kuid see ei jõudnud mingil põhjusel kohale. Sellel võib olla mitu põhjust :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saadab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e-arveid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e-posti aadressile, mille klient on meile teatanud, seetõttu on oluline, et muudatustest aadressis ka meid kindlasti teavitataks;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e-arve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ei lähe kohale ka juhul, kui postkast on täis;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 xml:space="preserve">- kuna erinevad meiliserverid käituvad erinevalt, võib mõnikord juhtuda, et arve liigitatakse automaatselt hoopis rämpspostiks. Seetõttu tasub kadunud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e-arvet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otsida ka oma postkasti kaustast nimega Rämpspost (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Junk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e-mail, 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Spam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). Reeglina on võimalik seejärel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lisada usaldatavate saatjate hulka, et edaspidi jõuaks arve ilusti postkasti;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>- juhul, kui oled kolinud – kas oled teavitanud meid oma uuest postiaadressist?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  <w:t>- SMS teavitus – kas oled meid teavitanud oma uuest kontaktnumbrist?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Millal on arve maksetähtaeg?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Arvete tasumise maksetähtaeg on iga kuu 25 -kuupäev.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Mis on makseviivitustrahv?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Makse hilinemise korral on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Viasatil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õigus küsida makseviivitustrahvi 4.00 EUR.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Mida teha kasutuna seisva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vaatajakaardiga?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Vastavalt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AS lepingutingimustele on kaart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omand. Kliendil on kaardi kasutamise õigus lepingus sätestatud tingimustel. Klient on kohustatud kasutuna seisva vaatajakaardi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Viasatile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tagastama 5 päeva jooksul. Vaatajakaardi saad tagastada sobivasse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 teeninduskeskusesse, mille leiad  </w:t>
      </w:r>
      <w:hyperlink r:id="rId4" w:history="1">
        <w:r w:rsidRPr="00333E77">
          <w:rPr>
            <w:rFonts w:ascii="Arial" w:eastAsia="Times New Roman" w:hAnsi="Arial" w:cs="Arial"/>
            <w:color w:val="205080"/>
            <w:sz w:val="24"/>
            <w:szCs w:val="24"/>
            <w:u w:val="single"/>
            <w:lang w:eastAsia="et-EE"/>
          </w:rPr>
          <w:t>siit</w:t>
        </w:r>
      </w:hyperlink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. Juhul, kui Sa ei leia sobivat kohta, saad tagastada vaatajakaardi postiga, aadressile Pärnu mnt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67A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 Tallinn 10134.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Viitenumber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Kasuta arve tasumisel alati viitenumbrit. Nii laekub makse õigele arvele.</w:t>
      </w: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br/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viitenumber on arvepõhine. Seega tuleb arve tasumisel kirjutada alati eraldi viitenumber ehk selle arve number mida soovite maksta.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Kui viitenumber puudub, kuidas saan arvet tasuda?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lastRenderedPageBreak/>
        <w:t>Sel juhul tuleb märkida maksekorraldusel selgituse lahtrisse oma kliendi ja makstava arve number. Viitenumbrit on võimalik vaadata iseteenindusest "Minu arved" alt.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Kuidas saan lepingut lõpetada?</w:t>
      </w:r>
    </w:p>
    <w:p w:rsidR="00333E77" w:rsidRPr="00333E77" w:rsidRDefault="00333E77" w:rsidP="00333E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Lepingu lõpetamise soovi puhul palume helistada telefonil 16 788 või 698 9000. Kindlasti palume tutvuda ka lepingu tähtaega ja lõpetamist käsitlevate lepingu punkt 9.  "Lepingu tähtaeg ja lõppemine".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8611E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Mida teha oma kasutult seisva </w:t>
      </w:r>
      <w:proofErr w:type="spellStart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C8611E"/>
          <w:sz w:val="24"/>
          <w:szCs w:val="24"/>
          <w:lang w:eastAsia="et-EE"/>
        </w:rPr>
        <w:t xml:space="preserve"> digiboksiga?</w:t>
      </w:r>
    </w:p>
    <w:p w:rsidR="00333E77" w:rsidRPr="00333E77" w:rsidRDefault="00333E77" w:rsidP="00333E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Kui Sa ei vaja enam oma vana digiboksi, siis palun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utliliseeri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see või too </w:t>
      </w:r>
      <w:proofErr w:type="spellStart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Viasati</w:t>
      </w:r>
      <w:proofErr w:type="spellEnd"/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 xml:space="preserve"> klienditeenindusse.</w:t>
      </w:r>
    </w:p>
    <w:p w:rsidR="00333E77" w:rsidRPr="00333E77" w:rsidRDefault="00333E77" w:rsidP="00333E77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313131"/>
          <w:sz w:val="24"/>
          <w:szCs w:val="24"/>
          <w:lang w:eastAsia="et-EE"/>
        </w:rPr>
      </w:pPr>
      <w:r w:rsidRPr="00333E77">
        <w:rPr>
          <w:rFonts w:ascii="Arial" w:eastAsia="Times New Roman" w:hAnsi="Arial" w:cs="Arial"/>
          <w:color w:val="313131"/>
          <w:sz w:val="24"/>
          <w:szCs w:val="24"/>
          <w:lang w:eastAsia="et-EE"/>
        </w:rPr>
        <w:t>Nii saad kindel olla, et hoiad loodust ning seisad jätkusuutliku tarbimise eest.</w:t>
      </w:r>
    </w:p>
    <w:p w:rsidR="00CC3876" w:rsidRDefault="00333E77">
      <w:bookmarkStart w:id="0" w:name="_GoBack"/>
      <w:bookmarkEnd w:id="0"/>
    </w:p>
    <w:sectPr w:rsidR="00CC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77"/>
    <w:rsid w:val="000E567D"/>
    <w:rsid w:val="00333E77"/>
    <w:rsid w:val="005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13E9-47E4-4D72-907F-CA28839B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3E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3E77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33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33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1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7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2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31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97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2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8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8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2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2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1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6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13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5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asat.ee/viasatist/kontakt/klienditeeninduskesku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Laurima</dc:creator>
  <cp:keywords/>
  <dc:description/>
  <cp:lastModifiedBy>Karin Laurima</cp:lastModifiedBy>
  <cp:revision>1</cp:revision>
  <dcterms:created xsi:type="dcterms:W3CDTF">2018-08-18T14:02:00Z</dcterms:created>
  <dcterms:modified xsi:type="dcterms:W3CDTF">2018-08-18T14:03:00Z</dcterms:modified>
</cp:coreProperties>
</file>